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8395" w14:textId="77777777" w:rsidR="00E444D8" w:rsidRDefault="00E444D8" w:rsidP="007C59F3">
      <w:pPr>
        <w:pStyle w:val="Title"/>
        <w:rPr>
          <w:sz w:val="28"/>
        </w:rPr>
      </w:pPr>
    </w:p>
    <w:p w14:paraId="57982894" w14:textId="2E873D39" w:rsidR="007C59F3" w:rsidRDefault="007C59F3" w:rsidP="007C59F3">
      <w:pPr>
        <w:pStyle w:val="Title"/>
        <w:rPr>
          <w:sz w:val="28"/>
        </w:rPr>
      </w:pPr>
      <w:r>
        <w:rPr>
          <w:sz w:val="28"/>
        </w:rPr>
        <w:t>PA Noticeboard</w:t>
      </w:r>
    </w:p>
    <w:p w14:paraId="0359A470" w14:textId="22463A60" w:rsidR="007C59F3" w:rsidRDefault="007C59F3" w:rsidP="007C59F3">
      <w:pPr>
        <w:pStyle w:val="Title"/>
        <w:rPr>
          <w:sz w:val="28"/>
        </w:rPr>
      </w:pPr>
      <w:r>
        <w:rPr>
          <w:sz w:val="28"/>
        </w:rPr>
        <w:t>Self-Employed Personal Assistant</w:t>
      </w:r>
      <w:r w:rsidR="008B131A">
        <w:rPr>
          <w:sz w:val="28"/>
        </w:rPr>
        <w:t xml:space="preserve"> (PA)</w:t>
      </w:r>
      <w:r>
        <w:rPr>
          <w:sz w:val="28"/>
        </w:rPr>
        <w:t xml:space="preserve"> factsheet </w:t>
      </w:r>
    </w:p>
    <w:p w14:paraId="0247BA2E" w14:textId="77777777" w:rsidR="007C59F3" w:rsidRDefault="007C59F3" w:rsidP="007C59F3">
      <w:pPr>
        <w:spacing w:after="320" w:line="240" w:lineRule="auto"/>
        <w:textAlignment w:val="baseline"/>
        <w:rPr>
          <w:rFonts w:ascii="inherit" w:eastAsia="Times New Roman" w:hAnsi="inherit" w:cs="Arial"/>
          <w:b/>
          <w:bCs/>
          <w:color w:val="000000"/>
          <w:sz w:val="27"/>
          <w:szCs w:val="27"/>
          <w:bdr w:val="none" w:sz="0" w:space="0" w:color="auto" w:frame="1"/>
          <w:lang w:eastAsia="en-GB"/>
        </w:rPr>
      </w:pPr>
    </w:p>
    <w:p w14:paraId="5F3E7D0D" w14:textId="527BF305" w:rsidR="007C59F3" w:rsidRPr="003E5226" w:rsidRDefault="007C59F3" w:rsidP="003E5226">
      <w:pPr>
        <w:pStyle w:val="ListParagraph"/>
        <w:numPr>
          <w:ilvl w:val="0"/>
          <w:numId w:val="3"/>
        </w:numPr>
        <w:spacing w:after="320"/>
        <w:textAlignment w:val="baseline"/>
        <w:rPr>
          <w:rFonts w:ascii="Arial" w:hAnsi="Arial" w:cs="Arial"/>
          <w:b/>
          <w:bCs/>
        </w:rPr>
      </w:pPr>
      <w:r w:rsidRPr="003E5226">
        <w:rPr>
          <w:rFonts w:ascii="Arial" w:hAnsi="Arial" w:cs="Arial"/>
          <w:b/>
          <w:bCs/>
        </w:rPr>
        <w:t>Paying your self-employed PA</w:t>
      </w:r>
    </w:p>
    <w:p w14:paraId="142FFEA8" w14:textId="77777777" w:rsidR="003E5226" w:rsidRPr="003E5226" w:rsidRDefault="003E5226" w:rsidP="003E5226">
      <w:pPr>
        <w:pStyle w:val="ListParagraph"/>
        <w:numPr>
          <w:ilvl w:val="0"/>
          <w:numId w:val="3"/>
        </w:numPr>
        <w:spacing w:after="320"/>
        <w:textAlignment w:val="baseline"/>
        <w:rPr>
          <w:rFonts w:ascii="Arial" w:hAnsi="Arial" w:cs="Arial"/>
          <w:b/>
          <w:bCs/>
        </w:rPr>
      </w:pPr>
      <w:r w:rsidRPr="003E5226">
        <w:rPr>
          <w:rFonts w:ascii="Arial" w:hAnsi="Arial" w:cs="Arial"/>
          <w:b/>
          <w:bCs/>
        </w:rPr>
        <w:t>Working agreement</w:t>
      </w:r>
    </w:p>
    <w:p w14:paraId="482A5B49" w14:textId="77777777" w:rsidR="003E5226" w:rsidRPr="003E5226" w:rsidRDefault="003E5226" w:rsidP="003E5226">
      <w:pPr>
        <w:pStyle w:val="ListParagraph"/>
        <w:numPr>
          <w:ilvl w:val="0"/>
          <w:numId w:val="3"/>
        </w:numPr>
        <w:spacing w:after="320"/>
        <w:textAlignment w:val="baseline"/>
        <w:rPr>
          <w:rFonts w:ascii="Arial" w:hAnsi="Arial" w:cs="Arial"/>
          <w:b/>
          <w:bCs/>
        </w:rPr>
      </w:pPr>
      <w:r w:rsidRPr="003E5226">
        <w:rPr>
          <w:rFonts w:ascii="Arial" w:hAnsi="Arial" w:cs="Arial"/>
          <w:b/>
          <w:bCs/>
        </w:rPr>
        <w:t>DBS Checks</w:t>
      </w:r>
    </w:p>
    <w:p w14:paraId="1F2F91FD" w14:textId="77777777" w:rsidR="003E5226" w:rsidRPr="003E5226" w:rsidRDefault="003E5226" w:rsidP="003E5226">
      <w:pPr>
        <w:pStyle w:val="ListParagraph"/>
        <w:numPr>
          <w:ilvl w:val="0"/>
          <w:numId w:val="3"/>
        </w:numPr>
        <w:spacing w:after="320"/>
        <w:textAlignment w:val="baseline"/>
        <w:rPr>
          <w:rFonts w:ascii="Arial" w:hAnsi="Arial" w:cs="Arial"/>
          <w:b/>
          <w:bCs/>
        </w:rPr>
      </w:pPr>
      <w:r w:rsidRPr="003E5226">
        <w:rPr>
          <w:rFonts w:ascii="Arial" w:hAnsi="Arial" w:cs="Arial"/>
          <w:b/>
          <w:bCs/>
        </w:rPr>
        <w:t>PA Documentation</w:t>
      </w:r>
    </w:p>
    <w:p w14:paraId="6E37D6D5" w14:textId="77777777" w:rsidR="003E5226" w:rsidRPr="003E5226" w:rsidRDefault="003E5226" w:rsidP="003E5226">
      <w:pPr>
        <w:pStyle w:val="ListParagraph"/>
        <w:numPr>
          <w:ilvl w:val="0"/>
          <w:numId w:val="3"/>
        </w:numPr>
        <w:jc w:val="both"/>
        <w:rPr>
          <w:rFonts w:ascii="Arial" w:hAnsi="Arial" w:cs="Arial"/>
          <w:b/>
          <w:bCs/>
          <w:color w:val="000000"/>
        </w:rPr>
      </w:pPr>
      <w:r w:rsidRPr="003E5226">
        <w:rPr>
          <w:rFonts w:ascii="Arial" w:hAnsi="Arial" w:cs="Arial"/>
          <w:b/>
          <w:bCs/>
          <w:color w:val="000000"/>
        </w:rPr>
        <w:t>Training your PA</w:t>
      </w:r>
    </w:p>
    <w:p w14:paraId="509CF2AF" w14:textId="77777777" w:rsidR="003E5226" w:rsidRPr="003E5226" w:rsidRDefault="003E5226" w:rsidP="003E5226">
      <w:pPr>
        <w:pStyle w:val="ListParagraph"/>
        <w:numPr>
          <w:ilvl w:val="0"/>
          <w:numId w:val="3"/>
        </w:numPr>
        <w:spacing w:after="320"/>
        <w:textAlignment w:val="baseline"/>
        <w:rPr>
          <w:rFonts w:ascii="Arial" w:hAnsi="Arial" w:cs="Arial"/>
          <w:b/>
          <w:bCs/>
        </w:rPr>
      </w:pPr>
      <w:r w:rsidRPr="003E5226">
        <w:rPr>
          <w:rFonts w:ascii="Arial" w:hAnsi="Arial" w:cs="Arial"/>
          <w:b/>
          <w:bCs/>
        </w:rPr>
        <w:t>Checking your PA's Employment Status</w:t>
      </w:r>
    </w:p>
    <w:p w14:paraId="407C24D8" w14:textId="77777777" w:rsidR="003E5226" w:rsidRPr="003E5226" w:rsidRDefault="003E5226" w:rsidP="003E5226">
      <w:pPr>
        <w:pStyle w:val="ListParagraph"/>
        <w:numPr>
          <w:ilvl w:val="0"/>
          <w:numId w:val="3"/>
        </w:numPr>
        <w:textAlignment w:val="baseline"/>
        <w:rPr>
          <w:rFonts w:ascii="Arial" w:hAnsi="Arial" w:cs="Arial"/>
          <w:b/>
          <w:bCs/>
          <w:color w:val="000000"/>
          <w:bdr w:val="none" w:sz="0" w:space="0" w:color="auto" w:frame="1"/>
          <w:lang w:eastAsia="en-GB"/>
        </w:rPr>
      </w:pPr>
      <w:r w:rsidRPr="003E5226">
        <w:rPr>
          <w:rFonts w:ascii="Arial" w:hAnsi="Arial" w:cs="Arial"/>
          <w:b/>
          <w:bCs/>
          <w:color w:val="000000"/>
          <w:bdr w:val="none" w:sz="0" w:space="0" w:color="auto" w:frame="1"/>
          <w:lang w:eastAsia="en-GB"/>
        </w:rPr>
        <w:t>Expenses and Mileage </w:t>
      </w:r>
    </w:p>
    <w:p w14:paraId="4DE32F73" w14:textId="77777777" w:rsidR="003E5226" w:rsidRPr="003E5226" w:rsidRDefault="003E5226" w:rsidP="003E5226">
      <w:pPr>
        <w:pStyle w:val="ListParagraph"/>
        <w:numPr>
          <w:ilvl w:val="0"/>
          <w:numId w:val="3"/>
        </w:numPr>
        <w:textAlignment w:val="baseline"/>
        <w:rPr>
          <w:rFonts w:ascii="Arial" w:hAnsi="Arial" w:cs="Arial"/>
          <w:b/>
          <w:bCs/>
          <w:color w:val="000000"/>
          <w:bdr w:val="none" w:sz="0" w:space="0" w:color="auto" w:frame="1"/>
          <w:lang w:eastAsia="en-GB"/>
        </w:rPr>
      </w:pPr>
      <w:r w:rsidRPr="003E5226">
        <w:rPr>
          <w:rFonts w:ascii="Arial" w:hAnsi="Arial" w:cs="Arial"/>
          <w:b/>
          <w:bCs/>
          <w:color w:val="000000"/>
          <w:bdr w:val="none" w:sz="0" w:space="0" w:color="auto" w:frame="1"/>
          <w:lang w:eastAsia="en-GB"/>
        </w:rPr>
        <w:t>Contingency Plan </w:t>
      </w:r>
    </w:p>
    <w:p w14:paraId="6B23775B" w14:textId="77777777" w:rsidR="003E5226" w:rsidRPr="003E5226" w:rsidRDefault="003E5226" w:rsidP="003E5226">
      <w:pPr>
        <w:pStyle w:val="ListParagraph"/>
        <w:numPr>
          <w:ilvl w:val="0"/>
          <w:numId w:val="3"/>
        </w:numPr>
        <w:spacing w:after="320"/>
        <w:textAlignment w:val="baseline"/>
        <w:rPr>
          <w:rFonts w:ascii="Arial" w:hAnsi="Arial" w:cs="Arial"/>
          <w:b/>
          <w:bCs/>
          <w:color w:val="000000"/>
          <w:bdr w:val="none" w:sz="0" w:space="0" w:color="auto" w:frame="1"/>
          <w:lang w:eastAsia="en-GB"/>
        </w:rPr>
      </w:pPr>
      <w:r w:rsidRPr="003E5226">
        <w:rPr>
          <w:rFonts w:ascii="Arial" w:hAnsi="Arial" w:cs="Arial"/>
          <w:b/>
          <w:bCs/>
          <w:color w:val="000000"/>
          <w:bdr w:val="none" w:sz="0" w:space="0" w:color="auto" w:frame="1"/>
          <w:lang w:eastAsia="en-GB"/>
        </w:rPr>
        <w:t>Ending the Service</w:t>
      </w:r>
    </w:p>
    <w:p w14:paraId="7826E646" w14:textId="77777777" w:rsidR="003E5226" w:rsidRDefault="003E5226" w:rsidP="003E5226">
      <w:pPr>
        <w:pStyle w:val="ListParagraph"/>
        <w:spacing w:after="320"/>
        <w:textAlignment w:val="baseline"/>
        <w:rPr>
          <w:u w:val="single"/>
        </w:rPr>
      </w:pPr>
    </w:p>
    <w:p w14:paraId="382F596C" w14:textId="77777777" w:rsidR="00E444D8" w:rsidRPr="003E5226" w:rsidRDefault="00E444D8" w:rsidP="003E5226">
      <w:pPr>
        <w:pStyle w:val="ListParagraph"/>
        <w:spacing w:after="320"/>
        <w:textAlignment w:val="baseline"/>
        <w:rPr>
          <w:u w:val="single"/>
        </w:rPr>
      </w:pPr>
    </w:p>
    <w:p w14:paraId="0B4DCA25" w14:textId="72F7799C" w:rsidR="003E5226" w:rsidRPr="003E5226" w:rsidRDefault="003E5226" w:rsidP="003E5226">
      <w:pPr>
        <w:spacing w:after="320"/>
        <w:textAlignment w:val="baseline"/>
        <w:rPr>
          <w:rFonts w:cs="Arial"/>
          <w:b/>
          <w:bCs/>
        </w:rPr>
      </w:pPr>
      <w:r>
        <w:rPr>
          <w:rFonts w:cs="Arial"/>
          <w:b/>
          <w:bCs/>
        </w:rPr>
        <w:t xml:space="preserve">1. </w:t>
      </w:r>
      <w:r w:rsidRPr="003E5226">
        <w:rPr>
          <w:rFonts w:cs="Arial"/>
          <w:b/>
          <w:bCs/>
        </w:rPr>
        <w:t>Paying your self-employed PA</w:t>
      </w:r>
    </w:p>
    <w:p w14:paraId="3360ADA9" w14:textId="07C7F534" w:rsidR="007C59F3" w:rsidRPr="003E5226" w:rsidRDefault="007C59F3" w:rsidP="007C59F3">
      <w:pPr>
        <w:spacing w:after="320" w:line="240" w:lineRule="auto"/>
        <w:textAlignment w:val="baseline"/>
        <w:rPr>
          <w:szCs w:val="24"/>
        </w:rPr>
      </w:pPr>
      <w:r w:rsidRPr="003E5226">
        <w:rPr>
          <w:szCs w:val="24"/>
        </w:rPr>
        <w:t>The PA will set their own fees and send you an invoice for their fees. When you pay the</w:t>
      </w:r>
      <w:r w:rsidR="009D0E58">
        <w:rPr>
          <w:szCs w:val="24"/>
        </w:rPr>
        <w:t xml:space="preserve"> invoice this will be inclusive of tax as the PA will organise payment of tax themselves. </w:t>
      </w:r>
      <w:r w:rsidRPr="003E5226">
        <w:rPr>
          <w:szCs w:val="24"/>
        </w:rPr>
        <w:t xml:space="preserve"> </w:t>
      </w:r>
      <w:r w:rsidR="009D0E58">
        <w:rPr>
          <w:szCs w:val="24"/>
        </w:rPr>
        <w:t xml:space="preserve">Self-employed PAs are not entitled to </w:t>
      </w:r>
      <w:r w:rsidRPr="003E5226">
        <w:rPr>
          <w:szCs w:val="24"/>
        </w:rPr>
        <w:t xml:space="preserve">holiday pay, sick pay or any other payment when they are unable to work for you as they are not entitled to employment benefits.  </w:t>
      </w:r>
    </w:p>
    <w:p w14:paraId="4E16A74E" w14:textId="7513299D" w:rsidR="007C59F3" w:rsidRPr="003E5226" w:rsidRDefault="003E5226" w:rsidP="007C59F3">
      <w:pPr>
        <w:spacing w:after="320" w:line="240" w:lineRule="auto"/>
        <w:textAlignment w:val="baseline"/>
        <w:rPr>
          <w:b/>
          <w:bCs/>
          <w:szCs w:val="24"/>
        </w:rPr>
      </w:pPr>
      <w:r w:rsidRPr="003E5226">
        <w:rPr>
          <w:b/>
          <w:bCs/>
          <w:szCs w:val="24"/>
        </w:rPr>
        <w:t xml:space="preserve">2. </w:t>
      </w:r>
      <w:r w:rsidR="007C59F3" w:rsidRPr="003E5226">
        <w:rPr>
          <w:b/>
          <w:bCs/>
          <w:szCs w:val="24"/>
        </w:rPr>
        <w:t>Working agreement</w:t>
      </w:r>
    </w:p>
    <w:p w14:paraId="51711437" w14:textId="46DE3E80" w:rsidR="007C59F3" w:rsidRPr="003E5226" w:rsidRDefault="007C59F3" w:rsidP="007C59F3">
      <w:pPr>
        <w:spacing w:after="320" w:line="240" w:lineRule="auto"/>
        <w:textAlignment w:val="baseline"/>
        <w:rPr>
          <w:szCs w:val="24"/>
        </w:rPr>
      </w:pPr>
      <w:r w:rsidRPr="003E5226">
        <w:rPr>
          <w:szCs w:val="24"/>
        </w:rPr>
        <w:t xml:space="preserve">You don’t need to give your PA an employment contract they should show you their terms and conditions and give you a contract to sign. </w:t>
      </w:r>
    </w:p>
    <w:p w14:paraId="46E9A6E6" w14:textId="77777777" w:rsidR="00E444D8" w:rsidRDefault="007C59F3" w:rsidP="00E444D8">
      <w:pPr>
        <w:spacing w:after="0" w:line="240" w:lineRule="auto"/>
        <w:textAlignment w:val="baseline"/>
        <w:rPr>
          <w:rFonts w:eastAsia="Times New Roman" w:cs="Arial"/>
          <w:color w:val="000000"/>
          <w:szCs w:val="24"/>
          <w:lang w:eastAsia="en-GB"/>
        </w:rPr>
      </w:pPr>
      <w:r w:rsidRPr="003E5226">
        <w:rPr>
          <w:rFonts w:eastAsia="Times New Roman" w:cs="Arial"/>
          <w:color w:val="000000"/>
          <w:szCs w:val="24"/>
          <w:lang w:eastAsia="en-GB"/>
        </w:rPr>
        <w:t>The PA Noticeboard advises that a</w:t>
      </w:r>
      <w:r w:rsidR="00D61742">
        <w:rPr>
          <w:rFonts w:eastAsia="Times New Roman" w:cs="Arial"/>
          <w:color w:val="000000"/>
          <w:szCs w:val="24"/>
          <w:lang w:eastAsia="en-GB"/>
        </w:rPr>
        <w:t xml:space="preserve"> </w:t>
      </w:r>
      <w:r w:rsidR="002B76F6">
        <w:rPr>
          <w:rFonts w:eastAsia="Times New Roman" w:cs="Arial"/>
          <w:color w:val="000000"/>
          <w:szCs w:val="24"/>
          <w:lang w:eastAsia="en-GB"/>
        </w:rPr>
        <w:t xml:space="preserve">Working Agreement </w:t>
      </w:r>
      <w:r w:rsidRPr="003E5226">
        <w:rPr>
          <w:rFonts w:eastAsia="Times New Roman" w:cs="Arial"/>
          <w:color w:val="000000"/>
          <w:szCs w:val="24"/>
          <w:lang w:eastAsia="en-GB"/>
        </w:rPr>
        <w:t>is signed between both parties before support starts.</w:t>
      </w:r>
      <w:r w:rsidR="002B76F6">
        <w:rPr>
          <w:rFonts w:eastAsia="Times New Roman" w:cs="Arial"/>
          <w:color w:val="000000"/>
          <w:szCs w:val="24"/>
          <w:lang w:eastAsia="en-GB"/>
        </w:rPr>
        <w:t xml:space="preserve"> This document is </w:t>
      </w:r>
      <w:r w:rsidR="008B131A">
        <w:rPr>
          <w:rFonts w:eastAsia="Times New Roman" w:cs="Arial"/>
          <w:color w:val="000000"/>
          <w:szCs w:val="24"/>
          <w:lang w:eastAsia="en-GB"/>
        </w:rPr>
        <w:t>available on the PA Noticeboard website.</w:t>
      </w:r>
    </w:p>
    <w:p w14:paraId="07E95C27" w14:textId="77777777" w:rsidR="00E444D8" w:rsidRDefault="00E444D8" w:rsidP="00E444D8">
      <w:pPr>
        <w:spacing w:after="0" w:line="240" w:lineRule="auto"/>
        <w:textAlignment w:val="baseline"/>
        <w:rPr>
          <w:rFonts w:eastAsia="Times New Roman" w:cs="Arial"/>
          <w:color w:val="000000"/>
          <w:szCs w:val="24"/>
          <w:lang w:eastAsia="en-GB"/>
        </w:rPr>
      </w:pPr>
    </w:p>
    <w:p w14:paraId="4255AABD" w14:textId="0CB49CA0" w:rsidR="007C59F3" w:rsidRDefault="003E5226" w:rsidP="00E444D8">
      <w:pPr>
        <w:spacing w:after="0" w:line="240" w:lineRule="auto"/>
        <w:textAlignment w:val="baseline"/>
        <w:rPr>
          <w:b/>
          <w:bCs/>
          <w:szCs w:val="24"/>
        </w:rPr>
      </w:pPr>
      <w:r>
        <w:rPr>
          <w:b/>
          <w:bCs/>
          <w:szCs w:val="24"/>
        </w:rPr>
        <w:t xml:space="preserve">3. </w:t>
      </w:r>
      <w:r w:rsidR="007C59F3" w:rsidRPr="003E5226">
        <w:rPr>
          <w:b/>
          <w:bCs/>
          <w:szCs w:val="24"/>
        </w:rPr>
        <w:t>DBS Checks</w:t>
      </w:r>
    </w:p>
    <w:p w14:paraId="5472A912" w14:textId="77777777" w:rsidR="00E444D8" w:rsidRPr="00E444D8" w:rsidRDefault="00E444D8" w:rsidP="00E444D8">
      <w:pPr>
        <w:spacing w:after="0" w:line="240" w:lineRule="auto"/>
        <w:textAlignment w:val="baseline"/>
        <w:rPr>
          <w:rFonts w:eastAsia="Times New Roman" w:cs="Arial"/>
          <w:color w:val="000000"/>
          <w:szCs w:val="24"/>
          <w:lang w:eastAsia="en-GB"/>
        </w:rPr>
      </w:pPr>
    </w:p>
    <w:p w14:paraId="174958FD" w14:textId="77777777" w:rsidR="007C59F3" w:rsidRPr="003E5226" w:rsidRDefault="007C59F3" w:rsidP="007C59F3">
      <w:pPr>
        <w:rPr>
          <w:rFonts w:cs="Arial"/>
          <w:szCs w:val="24"/>
        </w:rPr>
      </w:pPr>
      <w:r w:rsidRPr="003E5226">
        <w:rPr>
          <w:rFonts w:cs="Arial"/>
          <w:szCs w:val="24"/>
        </w:rPr>
        <w:t xml:space="preserve">A DBS check is carried out on PAs applying to work with vulnerable adults or children. The Disclosure and Barring service checks police records and issues a DBS certificate stating any relevant criminal records. </w:t>
      </w:r>
    </w:p>
    <w:p w14:paraId="16AB4505" w14:textId="77777777" w:rsidR="007C59F3" w:rsidRPr="003E5226" w:rsidRDefault="007C59F3" w:rsidP="007C59F3">
      <w:pPr>
        <w:rPr>
          <w:rFonts w:cs="Arial"/>
          <w:color w:val="0B0C0C"/>
          <w:szCs w:val="24"/>
          <w:shd w:val="clear" w:color="auto" w:fill="FFFFFF"/>
        </w:rPr>
      </w:pPr>
      <w:r w:rsidRPr="003E5226">
        <w:rPr>
          <w:rFonts w:cs="Arial"/>
          <w:color w:val="0B0C0C"/>
          <w:szCs w:val="24"/>
          <w:shd w:val="clear" w:color="auto" w:fill="FFFFFF"/>
        </w:rPr>
        <w:t>Please contact the PA Noticeboard when a suitable PA has been found so we can organise a DBS check for you, this can usually be completed within 48 hours.</w:t>
      </w:r>
    </w:p>
    <w:p w14:paraId="5414F68C" w14:textId="77777777" w:rsidR="007C59F3" w:rsidRPr="003E5226" w:rsidRDefault="007C59F3" w:rsidP="007C59F3">
      <w:pPr>
        <w:pStyle w:val="Default"/>
        <w:rPr>
          <w:rFonts w:ascii="Arial" w:hAnsi="Arial" w:cs="Arial"/>
        </w:rPr>
      </w:pPr>
      <w:r w:rsidRPr="003E5226">
        <w:rPr>
          <w:rFonts w:ascii="Arial" w:hAnsi="Arial" w:cs="Arial"/>
          <w:shd w:val="clear" w:color="auto" w:fill="FFFFFF"/>
        </w:rPr>
        <w:t>DBS checks can onl</w:t>
      </w:r>
      <w:r w:rsidRPr="003E5226">
        <w:rPr>
          <w:rFonts w:ascii="Arial" w:hAnsi="Arial" w:cs="Arial"/>
        </w:rPr>
        <w:t>y be carried out if the PA or employer resides in Portsmouth.</w:t>
      </w:r>
    </w:p>
    <w:p w14:paraId="074708CF" w14:textId="77777777" w:rsidR="007C59F3" w:rsidRPr="003E5226" w:rsidRDefault="007C59F3" w:rsidP="007C59F3">
      <w:pPr>
        <w:pStyle w:val="Default"/>
        <w:rPr>
          <w:rFonts w:ascii="Arial" w:hAnsi="Arial" w:cs="Arial"/>
        </w:rPr>
      </w:pPr>
    </w:p>
    <w:p w14:paraId="4A8005F8" w14:textId="77777777" w:rsidR="00E444D8" w:rsidRDefault="00E444D8" w:rsidP="007C59F3">
      <w:pPr>
        <w:pStyle w:val="Default"/>
        <w:rPr>
          <w:rFonts w:ascii="Arial" w:hAnsi="Arial" w:cs="Arial"/>
        </w:rPr>
      </w:pPr>
    </w:p>
    <w:p w14:paraId="37718901" w14:textId="77777777" w:rsidR="00E444D8" w:rsidRDefault="00E444D8" w:rsidP="007C59F3">
      <w:pPr>
        <w:pStyle w:val="Default"/>
        <w:rPr>
          <w:rFonts w:ascii="Arial" w:hAnsi="Arial" w:cs="Arial"/>
        </w:rPr>
      </w:pPr>
    </w:p>
    <w:p w14:paraId="6DFD4EB9" w14:textId="77777777" w:rsidR="00E444D8" w:rsidRDefault="00E444D8" w:rsidP="007C59F3">
      <w:pPr>
        <w:pStyle w:val="Default"/>
        <w:rPr>
          <w:rFonts w:ascii="Arial" w:hAnsi="Arial" w:cs="Arial"/>
        </w:rPr>
      </w:pPr>
    </w:p>
    <w:p w14:paraId="1493E3CB" w14:textId="77777777" w:rsidR="00E444D8" w:rsidRDefault="00E444D8" w:rsidP="007C59F3">
      <w:pPr>
        <w:pStyle w:val="Default"/>
        <w:rPr>
          <w:rFonts w:ascii="Arial" w:hAnsi="Arial" w:cs="Arial"/>
        </w:rPr>
      </w:pPr>
    </w:p>
    <w:p w14:paraId="5A87E771" w14:textId="29C20DB0" w:rsidR="007C59F3" w:rsidRDefault="007C59F3" w:rsidP="007C59F3">
      <w:pPr>
        <w:pStyle w:val="Default"/>
        <w:rPr>
          <w:rFonts w:ascii="Arial" w:hAnsi="Arial" w:cs="Arial"/>
        </w:rPr>
      </w:pPr>
      <w:r w:rsidRPr="003E5226">
        <w:rPr>
          <w:rFonts w:ascii="Arial" w:hAnsi="Arial" w:cs="Arial"/>
        </w:rPr>
        <w:t>A self-employed PA is responsible for funding their own DBS check and they must agree to do this before they are accredited to the PA Noticeboard.</w:t>
      </w:r>
    </w:p>
    <w:p w14:paraId="7CBFF18F" w14:textId="77777777" w:rsidR="00AD7E98" w:rsidRDefault="00AD7E98" w:rsidP="007C59F3">
      <w:pPr>
        <w:pStyle w:val="Default"/>
        <w:rPr>
          <w:rFonts w:ascii="Arial" w:hAnsi="Arial" w:cs="Arial"/>
        </w:rPr>
      </w:pPr>
    </w:p>
    <w:p w14:paraId="6F309D69" w14:textId="610E7EC5" w:rsidR="007C59F3" w:rsidRPr="003E5226" w:rsidRDefault="003E5226" w:rsidP="007C59F3">
      <w:pPr>
        <w:spacing w:after="320" w:line="240" w:lineRule="auto"/>
        <w:textAlignment w:val="baseline"/>
        <w:rPr>
          <w:b/>
          <w:bCs/>
          <w:szCs w:val="24"/>
        </w:rPr>
      </w:pPr>
      <w:r w:rsidRPr="003E5226">
        <w:rPr>
          <w:b/>
          <w:bCs/>
          <w:szCs w:val="24"/>
        </w:rPr>
        <w:t xml:space="preserve">4. </w:t>
      </w:r>
      <w:r w:rsidR="007C59F3" w:rsidRPr="003E5226">
        <w:rPr>
          <w:b/>
          <w:bCs/>
          <w:szCs w:val="24"/>
        </w:rPr>
        <w:t>PA Documentation</w:t>
      </w:r>
    </w:p>
    <w:p w14:paraId="2C63F56C" w14:textId="77777777" w:rsidR="003E5226" w:rsidRPr="003E5226" w:rsidRDefault="007C59F3" w:rsidP="007C59F3">
      <w:pPr>
        <w:spacing w:after="320" w:line="240" w:lineRule="auto"/>
        <w:textAlignment w:val="baseline"/>
        <w:rPr>
          <w:szCs w:val="24"/>
        </w:rPr>
      </w:pPr>
      <w:r w:rsidRPr="003E5226">
        <w:rPr>
          <w:szCs w:val="24"/>
        </w:rPr>
        <w:t>The PAs must have their own Public Liability insurance and UTR (Unique Tax Reference) from HMRC which they will upload</w:t>
      </w:r>
      <w:r w:rsidR="003E5226" w:rsidRPr="003E5226">
        <w:rPr>
          <w:szCs w:val="24"/>
        </w:rPr>
        <w:t xml:space="preserve"> on their accreditation form, </w:t>
      </w:r>
      <w:r w:rsidRPr="003E5226">
        <w:rPr>
          <w:szCs w:val="24"/>
        </w:rPr>
        <w:t>as well as any credential</w:t>
      </w:r>
      <w:r w:rsidR="003E5226" w:rsidRPr="003E5226">
        <w:rPr>
          <w:szCs w:val="24"/>
        </w:rPr>
        <w:t>s</w:t>
      </w:r>
      <w:r w:rsidRPr="003E5226">
        <w:rPr>
          <w:szCs w:val="24"/>
        </w:rPr>
        <w:t xml:space="preserve"> declared</w:t>
      </w:r>
      <w:r w:rsidR="003E5226" w:rsidRPr="003E5226">
        <w:rPr>
          <w:szCs w:val="24"/>
        </w:rPr>
        <w:t>, for the PA Noticeboard to check.</w:t>
      </w:r>
      <w:r w:rsidRPr="003E5226">
        <w:rPr>
          <w:szCs w:val="24"/>
        </w:rPr>
        <w:t xml:space="preserve"> </w:t>
      </w:r>
    </w:p>
    <w:p w14:paraId="0B30A931" w14:textId="1C7E2706" w:rsidR="007C59F3" w:rsidRPr="003E5226" w:rsidRDefault="007C59F3" w:rsidP="007C59F3">
      <w:pPr>
        <w:spacing w:after="320" w:line="240" w:lineRule="auto"/>
        <w:textAlignment w:val="baseline"/>
        <w:rPr>
          <w:szCs w:val="24"/>
        </w:rPr>
      </w:pPr>
      <w:r w:rsidRPr="003E5226">
        <w:rPr>
          <w:rFonts w:eastAsia="Times New Roman" w:cs="Arial"/>
          <w:color w:val="000000"/>
          <w:szCs w:val="24"/>
          <w:lang w:eastAsia="en-GB"/>
        </w:rPr>
        <w:t>However, as you will be a direct engager, you will need to ensure that you (or authorised person</w:t>
      </w:r>
      <w:r w:rsidR="00F771C0">
        <w:rPr>
          <w:rFonts w:eastAsia="Times New Roman" w:cs="Arial"/>
          <w:color w:val="000000"/>
          <w:szCs w:val="24"/>
          <w:lang w:eastAsia="en-GB"/>
        </w:rPr>
        <w:t>,</w:t>
      </w:r>
      <w:r w:rsidRPr="003E5226">
        <w:rPr>
          <w:rFonts w:eastAsia="Times New Roman" w:cs="Arial"/>
          <w:color w:val="000000"/>
          <w:szCs w:val="24"/>
          <w:lang w:eastAsia="en-GB"/>
        </w:rPr>
        <w:t xml:space="preserve"> for example family member or friend) also check the PA’s documentation and continue to check them in line with expiry dates.</w:t>
      </w:r>
    </w:p>
    <w:p w14:paraId="67642FF9" w14:textId="65D6C20B" w:rsidR="003E5226" w:rsidRPr="003E5226" w:rsidRDefault="003E5226" w:rsidP="003E5226">
      <w:pPr>
        <w:jc w:val="both"/>
        <w:rPr>
          <w:rFonts w:cs="Arial"/>
          <w:b/>
          <w:color w:val="000000"/>
          <w:szCs w:val="24"/>
        </w:rPr>
      </w:pPr>
      <w:r>
        <w:rPr>
          <w:rFonts w:cs="Arial"/>
          <w:b/>
          <w:color w:val="000000"/>
          <w:szCs w:val="24"/>
        </w:rPr>
        <w:t xml:space="preserve">5. </w:t>
      </w:r>
      <w:r w:rsidRPr="003E5226">
        <w:rPr>
          <w:rFonts w:cs="Arial"/>
          <w:b/>
          <w:color w:val="000000"/>
          <w:szCs w:val="24"/>
        </w:rPr>
        <w:t>Training your PA</w:t>
      </w:r>
    </w:p>
    <w:p w14:paraId="033E2AE2" w14:textId="77777777" w:rsidR="00C65A9D" w:rsidRPr="00BB7909" w:rsidRDefault="00C65A9D" w:rsidP="00C65A9D">
      <w:pPr>
        <w:rPr>
          <w:rFonts w:cs="Arial"/>
        </w:rPr>
      </w:pPr>
      <w:r w:rsidRPr="002A51F9">
        <w:rPr>
          <w:rFonts w:cs="Arial"/>
        </w:rPr>
        <w:t>Portsmouth City Council and Flourish offer free social care courses for Personal Assistants and Employers, with over 100 eLearning courses available.</w:t>
      </w:r>
    </w:p>
    <w:p w14:paraId="7ABFC108" w14:textId="77777777" w:rsidR="00C65A9D" w:rsidRDefault="00C65A9D" w:rsidP="00C65A9D">
      <w:pPr>
        <w:rPr>
          <w:rFonts w:cs="Arial"/>
        </w:rPr>
      </w:pPr>
      <w:r w:rsidRPr="002A51F9">
        <w:rPr>
          <w:rFonts w:cs="Arial"/>
        </w:rPr>
        <w:t>PAs from the PA Noticeboard must complete online training to become accredited.</w:t>
      </w:r>
    </w:p>
    <w:p w14:paraId="59C1A01C" w14:textId="77777777" w:rsidR="00E444D8" w:rsidRDefault="00E444D8" w:rsidP="00C65A9D">
      <w:pPr>
        <w:rPr>
          <w:b/>
          <w:bCs/>
          <w:szCs w:val="24"/>
        </w:rPr>
      </w:pPr>
    </w:p>
    <w:p w14:paraId="78A92132" w14:textId="4A0C6D15" w:rsidR="007C59F3" w:rsidRPr="00C65A9D" w:rsidRDefault="003E5226" w:rsidP="00C65A9D">
      <w:pPr>
        <w:rPr>
          <w:rFonts w:cs="Arial"/>
        </w:rPr>
      </w:pPr>
      <w:r>
        <w:rPr>
          <w:b/>
          <w:bCs/>
          <w:szCs w:val="24"/>
        </w:rPr>
        <w:t xml:space="preserve">6. </w:t>
      </w:r>
      <w:r w:rsidR="007C59F3" w:rsidRPr="003E5226">
        <w:rPr>
          <w:b/>
          <w:bCs/>
          <w:szCs w:val="24"/>
        </w:rPr>
        <w:t>Checking your PA's Employment Status</w:t>
      </w:r>
    </w:p>
    <w:p w14:paraId="4A7D623A" w14:textId="750A38E9" w:rsidR="007C59F3" w:rsidRPr="003E5226" w:rsidRDefault="007C59F3" w:rsidP="007C59F3">
      <w:pPr>
        <w:spacing w:after="320" w:line="240" w:lineRule="auto"/>
        <w:textAlignment w:val="baseline"/>
        <w:rPr>
          <w:szCs w:val="24"/>
        </w:rPr>
      </w:pPr>
      <w:r w:rsidRPr="003E5226">
        <w:rPr>
          <w:szCs w:val="24"/>
        </w:rPr>
        <w:t xml:space="preserve">If someone is employed or </w:t>
      </w:r>
      <w:r w:rsidR="003E5226" w:rsidRPr="003E5226">
        <w:rPr>
          <w:szCs w:val="24"/>
        </w:rPr>
        <w:t>self-employed</w:t>
      </w:r>
      <w:r w:rsidRPr="003E5226">
        <w:rPr>
          <w:szCs w:val="24"/>
        </w:rPr>
        <w:t xml:space="preserve"> this is called their </w:t>
      </w:r>
      <w:r w:rsidR="00234D47">
        <w:rPr>
          <w:szCs w:val="24"/>
        </w:rPr>
        <w:t xml:space="preserve">employment </w:t>
      </w:r>
      <w:r w:rsidRPr="003E5226">
        <w:rPr>
          <w:szCs w:val="24"/>
        </w:rPr>
        <w:t>status. You must check the PA’s status is correct. This is important for tax, employment law and pension. If you get a PA’s status wrong there could be serious consequences.</w:t>
      </w:r>
    </w:p>
    <w:p w14:paraId="7DEE70F3" w14:textId="543B8DC1" w:rsidR="007C59F3" w:rsidRDefault="00EB6FB8" w:rsidP="007C59F3">
      <w:pPr>
        <w:spacing w:after="320" w:line="240" w:lineRule="auto"/>
        <w:textAlignment w:val="baseline"/>
        <w:rPr>
          <w:rStyle w:val="Hyperlink"/>
          <w:szCs w:val="24"/>
        </w:rPr>
      </w:pPr>
      <w:r>
        <w:rPr>
          <w:szCs w:val="24"/>
        </w:rPr>
        <w:t>There is a checklist</w:t>
      </w:r>
      <w:r w:rsidR="00353D7C">
        <w:rPr>
          <w:szCs w:val="24"/>
        </w:rPr>
        <w:t xml:space="preserve"> on the PA Noticeboard website called 'SEPA checks' that you can run through with your PA to confirm their</w:t>
      </w:r>
      <w:r w:rsidR="00930284">
        <w:rPr>
          <w:szCs w:val="24"/>
        </w:rPr>
        <w:t xml:space="preserve"> employment status</w:t>
      </w:r>
      <w:r w:rsidR="00353D7C">
        <w:rPr>
          <w:szCs w:val="24"/>
        </w:rPr>
        <w:t xml:space="preserve">. You can also complete </w:t>
      </w:r>
      <w:r w:rsidR="003E5226">
        <w:rPr>
          <w:szCs w:val="24"/>
        </w:rPr>
        <w:t xml:space="preserve">the </w:t>
      </w:r>
      <w:hyperlink r:id="rId10" w:history="1">
        <w:r w:rsidR="00D61742" w:rsidRPr="00D61742">
          <w:rPr>
            <w:rStyle w:val="Hyperlink"/>
            <w:szCs w:val="24"/>
          </w:rPr>
          <w:t>Online HMRC tool</w:t>
        </w:r>
      </w:hyperlink>
      <w:r w:rsidR="00D61742">
        <w:rPr>
          <w:szCs w:val="24"/>
        </w:rPr>
        <w:t xml:space="preserve"> </w:t>
      </w:r>
    </w:p>
    <w:p w14:paraId="2189DA07" w14:textId="407D5D4A" w:rsidR="007C59F3" w:rsidRPr="003E5226" w:rsidRDefault="003E5226" w:rsidP="007C59F3">
      <w:pPr>
        <w:spacing w:after="0" w:line="240" w:lineRule="auto"/>
        <w:textAlignment w:val="baseline"/>
        <w:rPr>
          <w:rFonts w:eastAsia="Times New Roman" w:cs="Arial"/>
          <w:b/>
          <w:bCs/>
          <w:color w:val="000000"/>
          <w:szCs w:val="24"/>
          <w:bdr w:val="none" w:sz="0" w:space="0" w:color="auto" w:frame="1"/>
          <w:lang w:eastAsia="en-GB"/>
        </w:rPr>
      </w:pPr>
      <w:r>
        <w:rPr>
          <w:rFonts w:eastAsia="Times New Roman" w:cs="Arial"/>
          <w:b/>
          <w:bCs/>
          <w:color w:val="000000"/>
          <w:szCs w:val="24"/>
          <w:bdr w:val="none" w:sz="0" w:space="0" w:color="auto" w:frame="1"/>
          <w:lang w:eastAsia="en-GB"/>
        </w:rPr>
        <w:t xml:space="preserve">7. </w:t>
      </w:r>
      <w:r w:rsidR="007C59F3" w:rsidRPr="003E5226">
        <w:rPr>
          <w:rFonts w:eastAsia="Times New Roman" w:cs="Arial"/>
          <w:b/>
          <w:bCs/>
          <w:color w:val="000000"/>
          <w:szCs w:val="24"/>
          <w:bdr w:val="none" w:sz="0" w:space="0" w:color="auto" w:frame="1"/>
          <w:lang w:eastAsia="en-GB"/>
        </w:rPr>
        <w:t>Expenses and Mileage </w:t>
      </w:r>
    </w:p>
    <w:p w14:paraId="264E7318" w14:textId="77777777" w:rsidR="007C59F3" w:rsidRPr="003E5226" w:rsidRDefault="007C59F3" w:rsidP="007C59F3">
      <w:pPr>
        <w:spacing w:after="0" w:line="240" w:lineRule="auto"/>
        <w:textAlignment w:val="baseline"/>
        <w:rPr>
          <w:rFonts w:eastAsia="Times New Roman" w:cs="Arial"/>
          <w:color w:val="000000"/>
          <w:szCs w:val="24"/>
          <w:lang w:eastAsia="en-GB"/>
        </w:rPr>
      </w:pPr>
    </w:p>
    <w:p w14:paraId="407E00B4" w14:textId="77777777" w:rsidR="007C59F3" w:rsidRPr="003E5226" w:rsidRDefault="007C59F3" w:rsidP="007C59F3">
      <w:pPr>
        <w:spacing w:after="320" w:line="240" w:lineRule="auto"/>
        <w:textAlignment w:val="baseline"/>
        <w:rPr>
          <w:rFonts w:eastAsia="Times New Roman" w:cs="Arial"/>
          <w:color w:val="000000"/>
          <w:szCs w:val="24"/>
          <w:lang w:eastAsia="en-GB"/>
        </w:rPr>
      </w:pPr>
      <w:r w:rsidRPr="003E5226">
        <w:rPr>
          <w:rFonts w:eastAsia="Times New Roman" w:cs="Arial"/>
          <w:color w:val="000000"/>
          <w:szCs w:val="24"/>
          <w:lang w:eastAsia="en-GB"/>
        </w:rPr>
        <w:t>Tax returns are the self-employed PA’s responsibility and they are able to deduct some expenses from their taxable profit. If your PA wants to check if an expense is allowed they can call the HMRC self-assessment helpline or talk to an accountant.</w:t>
      </w:r>
    </w:p>
    <w:p w14:paraId="3CEDE224" w14:textId="77777777" w:rsidR="007C59F3" w:rsidRPr="003E5226" w:rsidRDefault="007C59F3" w:rsidP="007C59F3">
      <w:pPr>
        <w:spacing w:after="320" w:line="240" w:lineRule="auto"/>
        <w:textAlignment w:val="baseline"/>
        <w:rPr>
          <w:rFonts w:eastAsia="Times New Roman" w:cs="Arial"/>
          <w:color w:val="000000"/>
          <w:szCs w:val="24"/>
          <w:lang w:eastAsia="en-GB"/>
        </w:rPr>
      </w:pPr>
      <w:r w:rsidRPr="003E5226">
        <w:rPr>
          <w:rFonts w:eastAsia="Times New Roman" w:cs="Arial"/>
          <w:color w:val="000000"/>
          <w:szCs w:val="24"/>
          <w:lang w:eastAsia="en-GB"/>
        </w:rPr>
        <w:t>Regular expenses, such as travel/mileage, can be incorporated into the working agreement with your PA. One-off expenses are best handled directly between you and your PA.</w:t>
      </w:r>
    </w:p>
    <w:p w14:paraId="3A434571" w14:textId="52C676FC" w:rsidR="007C59F3" w:rsidRPr="003E5226" w:rsidRDefault="007C59F3" w:rsidP="007C59F3">
      <w:pPr>
        <w:spacing w:after="320" w:line="240" w:lineRule="auto"/>
        <w:textAlignment w:val="baseline"/>
        <w:rPr>
          <w:rFonts w:eastAsia="Times New Roman" w:cs="Arial"/>
          <w:color w:val="000000"/>
          <w:szCs w:val="24"/>
          <w:lang w:eastAsia="en-GB"/>
        </w:rPr>
      </w:pPr>
      <w:r w:rsidRPr="003E5226">
        <w:rPr>
          <w:rFonts w:eastAsia="Times New Roman" w:cs="Arial"/>
          <w:color w:val="000000"/>
          <w:szCs w:val="24"/>
          <w:lang w:eastAsia="en-GB"/>
        </w:rPr>
        <w:t>You do not have to pay for your PA’s mileage or activity-based expenses; however, this is a topic that is best negotiated between yourself and your PA upon commencing support. This should also be evidenced on the working agreement signed by yourself and your PA.</w:t>
      </w:r>
      <w:r w:rsidR="00C813A7">
        <w:rPr>
          <w:rFonts w:eastAsia="Times New Roman" w:cs="Arial"/>
          <w:color w:val="000000"/>
          <w:szCs w:val="24"/>
          <w:lang w:eastAsia="en-GB"/>
        </w:rPr>
        <w:t xml:space="preserve"> T</w:t>
      </w:r>
      <w:r w:rsidRPr="003E5226">
        <w:rPr>
          <w:rFonts w:eastAsia="Times New Roman" w:cs="Arial"/>
          <w:color w:val="000000"/>
          <w:szCs w:val="24"/>
          <w:lang w:eastAsia="en-GB"/>
        </w:rPr>
        <w:t>hese expenses are not generally included in a personal budget. </w:t>
      </w:r>
    </w:p>
    <w:p w14:paraId="45FC0BF1" w14:textId="77777777" w:rsidR="00E444D8" w:rsidRDefault="00E444D8" w:rsidP="007C59F3">
      <w:pPr>
        <w:spacing w:after="0" w:line="240" w:lineRule="auto"/>
        <w:textAlignment w:val="baseline"/>
        <w:rPr>
          <w:rFonts w:eastAsia="Times New Roman" w:cs="Arial"/>
          <w:b/>
          <w:bCs/>
          <w:color w:val="000000"/>
          <w:szCs w:val="24"/>
          <w:bdr w:val="none" w:sz="0" w:space="0" w:color="auto" w:frame="1"/>
          <w:lang w:eastAsia="en-GB"/>
        </w:rPr>
      </w:pPr>
    </w:p>
    <w:p w14:paraId="0E8666DD" w14:textId="77777777" w:rsidR="00E444D8" w:rsidRDefault="00E444D8" w:rsidP="007C59F3">
      <w:pPr>
        <w:spacing w:after="0" w:line="240" w:lineRule="auto"/>
        <w:textAlignment w:val="baseline"/>
        <w:rPr>
          <w:rFonts w:eastAsia="Times New Roman" w:cs="Arial"/>
          <w:b/>
          <w:bCs/>
          <w:color w:val="000000"/>
          <w:szCs w:val="24"/>
          <w:bdr w:val="none" w:sz="0" w:space="0" w:color="auto" w:frame="1"/>
          <w:lang w:eastAsia="en-GB"/>
        </w:rPr>
      </w:pPr>
    </w:p>
    <w:p w14:paraId="01EB560D" w14:textId="77777777" w:rsidR="00E444D8" w:rsidRDefault="00E444D8" w:rsidP="007C59F3">
      <w:pPr>
        <w:spacing w:after="0" w:line="240" w:lineRule="auto"/>
        <w:textAlignment w:val="baseline"/>
        <w:rPr>
          <w:rFonts w:eastAsia="Times New Roman" w:cs="Arial"/>
          <w:b/>
          <w:bCs/>
          <w:color w:val="000000"/>
          <w:szCs w:val="24"/>
          <w:bdr w:val="none" w:sz="0" w:space="0" w:color="auto" w:frame="1"/>
          <w:lang w:eastAsia="en-GB"/>
        </w:rPr>
      </w:pPr>
    </w:p>
    <w:p w14:paraId="41CBCC1A" w14:textId="5524DAD1" w:rsidR="007C59F3" w:rsidRPr="003E5226" w:rsidRDefault="003E5226" w:rsidP="007C59F3">
      <w:pPr>
        <w:spacing w:after="0" w:line="240" w:lineRule="auto"/>
        <w:textAlignment w:val="baseline"/>
        <w:rPr>
          <w:rFonts w:eastAsia="Times New Roman" w:cs="Arial"/>
          <w:b/>
          <w:bCs/>
          <w:color w:val="000000"/>
          <w:szCs w:val="24"/>
          <w:bdr w:val="none" w:sz="0" w:space="0" w:color="auto" w:frame="1"/>
          <w:lang w:eastAsia="en-GB"/>
        </w:rPr>
      </w:pPr>
      <w:r>
        <w:rPr>
          <w:rFonts w:eastAsia="Times New Roman" w:cs="Arial"/>
          <w:b/>
          <w:bCs/>
          <w:color w:val="000000"/>
          <w:szCs w:val="24"/>
          <w:bdr w:val="none" w:sz="0" w:space="0" w:color="auto" w:frame="1"/>
          <w:lang w:eastAsia="en-GB"/>
        </w:rPr>
        <w:t xml:space="preserve">8. </w:t>
      </w:r>
      <w:r w:rsidR="007C59F3" w:rsidRPr="003E5226">
        <w:rPr>
          <w:rFonts w:eastAsia="Times New Roman" w:cs="Arial"/>
          <w:b/>
          <w:bCs/>
          <w:color w:val="000000"/>
          <w:szCs w:val="24"/>
          <w:bdr w:val="none" w:sz="0" w:space="0" w:color="auto" w:frame="1"/>
          <w:lang w:eastAsia="en-GB"/>
        </w:rPr>
        <w:t>Contingency Plan </w:t>
      </w:r>
    </w:p>
    <w:p w14:paraId="2898E1E3" w14:textId="77777777" w:rsidR="007C59F3" w:rsidRPr="003E5226" w:rsidRDefault="007C59F3" w:rsidP="007C59F3">
      <w:pPr>
        <w:spacing w:after="0" w:line="240" w:lineRule="auto"/>
        <w:textAlignment w:val="baseline"/>
        <w:rPr>
          <w:rFonts w:eastAsia="Times New Roman" w:cs="Arial"/>
          <w:color w:val="000000"/>
          <w:szCs w:val="24"/>
          <w:lang w:eastAsia="en-GB"/>
        </w:rPr>
      </w:pPr>
    </w:p>
    <w:p w14:paraId="4DDE4CED" w14:textId="28D5D245" w:rsidR="00930284" w:rsidRDefault="007C59F3" w:rsidP="007C59F3">
      <w:pPr>
        <w:spacing w:after="320" w:line="240" w:lineRule="auto"/>
        <w:textAlignment w:val="baseline"/>
        <w:rPr>
          <w:rFonts w:eastAsia="Times New Roman" w:cs="Arial"/>
          <w:color w:val="000000"/>
          <w:szCs w:val="24"/>
          <w:lang w:eastAsia="en-GB"/>
        </w:rPr>
      </w:pPr>
      <w:bookmarkStart w:id="0" w:name="_Hlk129962917"/>
      <w:r w:rsidRPr="003E5226">
        <w:rPr>
          <w:rFonts w:eastAsia="Times New Roman" w:cs="Arial"/>
          <w:color w:val="000000"/>
          <w:szCs w:val="24"/>
          <w:lang w:eastAsia="en-GB"/>
        </w:rPr>
        <w:t xml:space="preserve">You should consider a holiday and sickness contingency plan for your PAs. Self-employed PAs should be sourcing their own holiday and sickness cover. </w:t>
      </w:r>
    </w:p>
    <w:p w14:paraId="4261E94C" w14:textId="53004EDD" w:rsidR="007C59F3" w:rsidRPr="003E5226" w:rsidRDefault="007C59F3" w:rsidP="007C59F3">
      <w:pPr>
        <w:spacing w:after="320" w:line="240" w:lineRule="auto"/>
        <w:textAlignment w:val="baseline"/>
        <w:rPr>
          <w:rFonts w:eastAsia="Times New Roman" w:cs="Arial"/>
          <w:color w:val="000000"/>
          <w:szCs w:val="24"/>
          <w:lang w:eastAsia="en-GB"/>
        </w:rPr>
      </w:pPr>
      <w:r w:rsidRPr="003E5226">
        <w:rPr>
          <w:rFonts w:eastAsia="Times New Roman" w:cs="Arial"/>
          <w:color w:val="000000"/>
          <w:szCs w:val="24"/>
          <w:lang w:eastAsia="en-GB"/>
        </w:rPr>
        <w:t>However, it is best that the client and PA have a conversation around this and a plan in place should holiday or sickness arise. For example, are there any family members that could support you when your PA is on holiday or sick? Does the PA know any other PAs that could cover them in these times?</w:t>
      </w:r>
    </w:p>
    <w:bookmarkEnd w:id="0"/>
    <w:p w14:paraId="70680029" w14:textId="467AA517" w:rsidR="003E5226" w:rsidRPr="003E5226" w:rsidRDefault="003E5226" w:rsidP="003E5226">
      <w:pPr>
        <w:spacing w:after="320" w:line="240" w:lineRule="auto"/>
        <w:textAlignment w:val="baseline"/>
        <w:rPr>
          <w:rFonts w:eastAsia="Times New Roman" w:cs="Arial"/>
          <w:b/>
          <w:bCs/>
          <w:color w:val="000000"/>
          <w:szCs w:val="24"/>
          <w:bdr w:val="none" w:sz="0" w:space="0" w:color="auto" w:frame="1"/>
          <w:lang w:eastAsia="en-GB"/>
        </w:rPr>
      </w:pPr>
      <w:r>
        <w:rPr>
          <w:rFonts w:eastAsia="Times New Roman" w:cs="Arial"/>
          <w:b/>
          <w:bCs/>
          <w:color w:val="000000"/>
          <w:szCs w:val="24"/>
          <w:bdr w:val="none" w:sz="0" w:space="0" w:color="auto" w:frame="1"/>
          <w:lang w:eastAsia="en-GB"/>
        </w:rPr>
        <w:t xml:space="preserve">9. </w:t>
      </w:r>
      <w:r w:rsidRPr="003E5226">
        <w:rPr>
          <w:rFonts w:eastAsia="Times New Roman" w:cs="Arial"/>
          <w:b/>
          <w:bCs/>
          <w:color w:val="000000"/>
          <w:szCs w:val="24"/>
          <w:bdr w:val="none" w:sz="0" w:space="0" w:color="auto" w:frame="1"/>
          <w:lang w:eastAsia="en-GB"/>
        </w:rPr>
        <w:t>Ending the Service</w:t>
      </w:r>
    </w:p>
    <w:p w14:paraId="1F202063" w14:textId="77777777" w:rsidR="00E444D8" w:rsidRDefault="003E5226" w:rsidP="003E5226">
      <w:pPr>
        <w:spacing w:after="320" w:line="240" w:lineRule="auto"/>
        <w:textAlignment w:val="baseline"/>
        <w:rPr>
          <w:rFonts w:eastAsia="Times New Roman" w:cs="Arial"/>
          <w:color w:val="000000"/>
          <w:szCs w:val="24"/>
          <w:lang w:eastAsia="en-GB"/>
        </w:rPr>
      </w:pPr>
      <w:r w:rsidRPr="003E5226">
        <w:rPr>
          <w:rFonts w:eastAsia="Times New Roman" w:cs="Arial"/>
          <w:color w:val="000000"/>
          <w:szCs w:val="24"/>
          <w:lang w:eastAsia="en-GB"/>
        </w:rPr>
        <w:t xml:space="preserve">When you or your PA terminates the service, it is important to reflect on the working agreement that was signed when the PA started supporting you. The termination or end of service period should be outlined on the working agreement and followed. </w:t>
      </w:r>
    </w:p>
    <w:p w14:paraId="60DB22FF" w14:textId="579F8E3A" w:rsidR="003E5226" w:rsidRPr="003E5226" w:rsidRDefault="003E5226" w:rsidP="003E5226">
      <w:pPr>
        <w:spacing w:after="320" w:line="240" w:lineRule="auto"/>
        <w:textAlignment w:val="baseline"/>
        <w:rPr>
          <w:rFonts w:eastAsia="Times New Roman" w:cs="Arial"/>
          <w:b/>
          <w:bCs/>
          <w:color w:val="000000"/>
          <w:szCs w:val="24"/>
          <w:bdr w:val="none" w:sz="0" w:space="0" w:color="auto" w:frame="1"/>
          <w:lang w:eastAsia="en-GB"/>
        </w:rPr>
      </w:pPr>
      <w:r w:rsidRPr="003E5226">
        <w:rPr>
          <w:rFonts w:eastAsia="Times New Roman" w:cs="Arial"/>
          <w:color w:val="000000"/>
          <w:szCs w:val="24"/>
          <w:lang w:eastAsia="en-GB"/>
        </w:rPr>
        <w:t>The PA Noticeboard advise at least one weeks’ notice from both parties to end the service, however, this period is at the discretion of the PA and client when the working agreement is drawn up at the start of service.</w:t>
      </w:r>
    </w:p>
    <w:p w14:paraId="0D88D0B5" w14:textId="77777777" w:rsidR="00D61742" w:rsidRPr="003E5226" w:rsidRDefault="00D61742">
      <w:pPr>
        <w:rPr>
          <w:rFonts w:cs="Arial"/>
          <w:szCs w:val="24"/>
        </w:rPr>
      </w:pPr>
    </w:p>
    <w:sectPr w:rsidR="00D61742" w:rsidRPr="003E5226">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5BC4" w14:textId="77777777" w:rsidR="00FB25ED" w:rsidRDefault="00FB25ED" w:rsidP="007C59F3">
      <w:pPr>
        <w:spacing w:after="0" w:line="240" w:lineRule="auto"/>
      </w:pPr>
      <w:r>
        <w:separator/>
      </w:r>
    </w:p>
  </w:endnote>
  <w:endnote w:type="continuationSeparator" w:id="0">
    <w:p w14:paraId="74CC4490" w14:textId="77777777" w:rsidR="00FB25ED" w:rsidRDefault="00FB25ED" w:rsidP="007C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447787"/>
      <w:docPartObj>
        <w:docPartGallery w:val="Page Numbers (Bottom of Page)"/>
        <w:docPartUnique/>
      </w:docPartObj>
    </w:sdtPr>
    <w:sdtContent>
      <w:p w14:paraId="5FAB1F38" w14:textId="02B20119" w:rsidR="00E444D8" w:rsidRDefault="00E444D8">
        <w:pPr>
          <w:pStyle w:val="Footer"/>
        </w:pPr>
        <w:r>
          <w:fldChar w:fldCharType="begin"/>
        </w:r>
        <w:r>
          <w:instrText>PAGE   \* MERGEFORMAT</w:instrText>
        </w:r>
        <w:r>
          <w:fldChar w:fldCharType="separate"/>
        </w:r>
        <w:r>
          <w:t>2</w:t>
        </w:r>
        <w:r>
          <w:fldChar w:fldCharType="end"/>
        </w:r>
        <w:r>
          <w:tab/>
        </w:r>
        <w:r>
          <w:tab/>
        </w:r>
        <w:r w:rsidRPr="00E444D8">
          <w:rPr>
            <w:sz w:val="18"/>
            <w:szCs w:val="18"/>
          </w:rPr>
          <w:t>V2 Jun 25</w:t>
        </w:r>
      </w:p>
    </w:sdtContent>
  </w:sdt>
  <w:p w14:paraId="765E6754" w14:textId="2D5D18F2" w:rsidR="00C96306" w:rsidRPr="009306BB" w:rsidRDefault="00C9630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0A0F" w14:textId="77777777" w:rsidR="00FB25ED" w:rsidRDefault="00FB25ED" w:rsidP="007C59F3">
      <w:pPr>
        <w:spacing w:after="0" w:line="240" w:lineRule="auto"/>
      </w:pPr>
      <w:r>
        <w:separator/>
      </w:r>
    </w:p>
  </w:footnote>
  <w:footnote w:type="continuationSeparator" w:id="0">
    <w:p w14:paraId="519E286C" w14:textId="77777777" w:rsidR="00FB25ED" w:rsidRDefault="00FB25ED" w:rsidP="007C5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C74F" w14:textId="53732082" w:rsidR="00933B27" w:rsidRDefault="00933B27">
    <w:pPr>
      <w:pStyle w:val="Header"/>
    </w:pPr>
    <w:r>
      <w:rPr>
        <w:noProof/>
      </w:rPr>
      <mc:AlternateContent>
        <mc:Choice Requires="wps">
          <w:drawing>
            <wp:anchor distT="0" distB="0" distL="0" distR="0" simplePos="0" relativeHeight="251659264" behindDoc="0" locked="0" layoutInCell="1" allowOverlap="1" wp14:anchorId="02B30C86" wp14:editId="74A17466">
              <wp:simplePos x="635" y="635"/>
              <wp:positionH relativeFrom="page">
                <wp:align>center</wp:align>
              </wp:positionH>
              <wp:positionV relativeFrom="page">
                <wp:align>top</wp:align>
              </wp:positionV>
              <wp:extent cx="443865" cy="443865"/>
              <wp:effectExtent l="0" t="0" r="16510" b="8890"/>
              <wp:wrapNone/>
              <wp:docPr id="688716789"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27368" w14:textId="35C2035F" w:rsidR="00933B27" w:rsidRPr="00933B27" w:rsidRDefault="00933B27" w:rsidP="00933B27">
                          <w:pPr>
                            <w:spacing w:after="0"/>
                            <w:rPr>
                              <w:rFonts w:ascii="Calibri" w:eastAsia="Calibri" w:hAnsi="Calibri"/>
                              <w:noProof/>
                              <w:color w:val="0000FF"/>
                              <w:szCs w:val="24"/>
                            </w:rPr>
                          </w:pPr>
                          <w:r w:rsidRPr="00933B27">
                            <w:rPr>
                              <w:rFonts w:ascii="Calibri" w:eastAsia="Calibri" w:hAnsi="Calibri"/>
                              <w:noProof/>
                              <w:color w:val="0000FF"/>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B30C86" id="_x0000_t202" coordsize="21600,21600" o:spt="202" path="m,l,21600r21600,l21600,xe">
              <v:stroke joinstyle="miter"/>
              <v:path gradientshapeok="t" o:connecttype="rect"/>
            </v:shapetype>
            <v:shape id="Text Box 2" o:spid="_x0000_s1026" type="#_x0000_t202" alt="- Public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727368" w14:textId="35C2035F" w:rsidR="00933B27" w:rsidRPr="00933B27" w:rsidRDefault="00933B27" w:rsidP="00933B27">
                    <w:pPr>
                      <w:spacing w:after="0"/>
                      <w:rPr>
                        <w:rFonts w:ascii="Calibri" w:eastAsia="Calibri" w:hAnsi="Calibri"/>
                        <w:noProof/>
                        <w:color w:val="0000FF"/>
                        <w:szCs w:val="24"/>
                      </w:rPr>
                    </w:pPr>
                    <w:r w:rsidRPr="00933B27">
                      <w:rPr>
                        <w:rFonts w:ascii="Calibri" w:eastAsia="Calibri" w:hAnsi="Calibri"/>
                        <w:noProof/>
                        <w:color w:val="0000FF"/>
                        <w:szCs w:val="24"/>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045A" w14:textId="7802F5A6" w:rsidR="007C59F3" w:rsidRDefault="00933B27">
    <w:pPr>
      <w:pStyle w:val="Header"/>
    </w:pPr>
    <w:r>
      <w:rPr>
        <w:noProof/>
      </w:rPr>
      <mc:AlternateContent>
        <mc:Choice Requires="wps">
          <w:drawing>
            <wp:anchor distT="0" distB="0" distL="0" distR="0" simplePos="0" relativeHeight="251660288" behindDoc="0" locked="0" layoutInCell="1" allowOverlap="1" wp14:anchorId="2496E34F" wp14:editId="4111369D">
              <wp:simplePos x="914400" y="451757"/>
              <wp:positionH relativeFrom="page">
                <wp:align>center</wp:align>
              </wp:positionH>
              <wp:positionV relativeFrom="page">
                <wp:align>top</wp:align>
              </wp:positionV>
              <wp:extent cx="443865" cy="443865"/>
              <wp:effectExtent l="0" t="0" r="16510" b="8890"/>
              <wp:wrapNone/>
              <wp:docPr id="1737532737" name="Text Box 3"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121E6" w14:textId="77DE38E3" w:rsidR="00933B27" w:rsidRPr="00933B27" w:rsidRDefault="00933B27" w:rsidP="00933B27">
                          <w:pPr>
                            <w:spacing w:after="0"/>
                            <w:rPr>
                              <w:rFonts w:ascii="Calibri" w:eastAsia="Calibri" w:hAnsi="Calibri"/>
                              <w:noProof/>
                              <w:color w:val="0000FF"/>
                              <w:szCs w:val="24"/>
                            </w:rPr>
                          </w:pPr>
                          <w:r w:rsidRPr="00933B27">
                            <w:rPr>
                              <w:rFonts w:ascii="Calibri" w:eastAsia="Calibri" w:hAnsi="Calibri"/>
                              <w:noProof/>
                              <w:color w:val="0000FF"/>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6E34F" id="_x0000_t202" coordsize="21600,21600" o:spt="202" path="m,l,21600r21600,l21600,xe">
              <v:stroke joinstyle="miter"/>
              <v:path gradientshapeok="t" o:connecttype="rect"/>
            </v:shapetype>
            <v:shape id="Text Box 3" o:spid="_x0000_s1027" type="#_x0000_t202" alt="- Public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E121E6" w14:textId="77DE38E3" w:rsidR="00933B27" w:rsidRPr="00933B27" w:rsidRDefault="00933B27" w:rsidP="00933B27">
                    <w:pPr>
                      <w:spacing w:after="0"/>
                      <w:rPr>
                        <w:rFonts w:ascii="Calibri" w:eastAsia="Calibri" w:hAnsi="Calibri"/>
                        <w:noProof/>
                        <w:color w:val="0000FF"/>
                        <w:szCs w:val="24"/>
                      </w:rPr>
                    </w:pPr>
                    <w:r w:rsidRPr="00933B27">
                      <w:rPr>
                        <w:rFonts w:ascii="Calibri" w:eastAsia="Calibri" w:hAnsi="Calibri"/>
                        <w:noProof/>
                        <w:color w:val="0000FF"/>
                        <w:szCs w:val="24"/>
                      </w:rPr>
                      <w:t>- Public -</w:t>
                    </w:r>
                  </w:p>
                </w:txbxContent>
              </v:textbox>
              <w10:wrap anchorx="page" anchory="page"/>
            </v:shape>
          </w:pict>
        </mc:Fallback>
      </mc:AlternateContent>
    </w:r>
    <w:r w:rsidR="007C59F3">
      <w:rPr>
        <w:noProof/>
      </w:rPr>
      <w:drawing>
        <wp:inline distT="0" distB="0" distL="0" distR="0" wp14:anchorId="62FBFE95" wp14:editId="786279CF">
          <wp:extent cx="1807224" cy="740229"/>
          <wp:effectExtent l="0" t="0" r="2540" b="3175"/>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
                  <a:stretch>
                    <a:fillRect/>
                  </a:stretch>
                </pic:blipFill>
                <pic:spPr>
                  <a:xfrm>
                    <a:off x="0" y="0"/>
                    <a:ext cx="1812640" cy="74244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00A1" w14:textId="1CF440F1" w:rsidR="00933B27" w:rsidRDefault="00933B27">
    <w:pPr>
      <w:pStyle w:val="Header"/>
    </w:pPr>
    <w:r>
      <w:rPr>
        <w:noProof/>
      </w:rPr>
      <mc:AlternateContent>
        <mc:Choice Requires="wps">
          <w:drawing>
            <wp:anchor distT="0" distB="0" distL="0" distR="0" simplePos="0" relativeHeight="251658240" behindDoc="0" locked="0" layoutInCell="1" allowOverlap="1" wp14:anchorId="616C1525" wp14:editId="6F55CAC9">
              <wp:simplePos x="635" y="635"/>
              <wp:positionH relativeFrom="page">
                <wp:align>center</wp:align>
              </wp:positionH>
              <wp:positionV relativeFrom="page">
                <wp:align>top</wp:align>
              </wp:positionV>
              <wp:extent cx="443865" cy="443865"/>
              <wp:effectExtent l="0" t="0" r="16510" b="8890"/>
              <wp:wrapNone/>
              <wp:docPr id="2122715742"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143E4" w14:textId="5D564BB5" w:rsidR="00933B27" w:rsidRPr="00933B27" w:rsidRDefault="00933B27" w:rsidP="00933B27">
                          <w:pPr>
                            <w:spacing w:after="0"/>
                            <w:rPr>
                              <w:rFonts w:ascii="Calibri" w:eastAsia="Calibri" w:hAnsi="Calibri"/>
                              <w:noProof/>
                              <w:color w:val="0000FF"/>
                              <w:szCs w:val="24"/>
                            </w:rPr>
                          </w:pPr>
                          <w:r w:rsidRPr="00933B27">
                            <w:rPr>
                              <w:rFonts w:ascii="Calibri" w:eastAsia="Calibri" w:hAnsi="Calibri"/>
                              <w:noProof/>
                              <w:color w:val="0000FF"/>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6C1525" id="_x0000_t202" coordsize="21600,21600" o:spt="202" path="m,l,21600r21600,l21600,xe">
              <v:stroke joinstyle="miter"/>
              <v:path gradientshapeok="t" o:connecttype="rect"/>
            </v:shapetype>
            <v:shape id="Text Box 1" o:spid="_x0000_s1028" type="#_x0000_t202" alt="- Public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CC143E4" w14:textId="5D564BB5" w:rsidR="00933B27" w:rsidRPr="00933B27" w:rsidRDefault="00933B27" w:rsidP="00933B27">
                    <w:pPr>
                      <w:spacing w:after="0"/>
                      <w:rPr>
                        <w:rFonts w:ascii="Calibri" w:eastAsia="Calibri" w:hAnsi="Calibri"/>
                        <w:noProof/>
                        <w:color w:val="0000FF"/>
                        <w:szCs w:val="24"/>
                      </w:rPr>
                    </w:pPr>
                    <w:r w:rsidRPr="00933B27">
                      <w:rPr>
                        <w:rFonts w:ascii="Calibri" w:eastAsia="Calibri" w:hAnsi="Calibri"/>
                        <w:noProof/>
                        <w:color w:val="0000FF"/>
                        <w:szCs w:val="24"/>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4127"/>
    <w:multiLevelType w:val="hybridMultilevel"/>
    <w:tmpl w:val="861A1854"/>
    <w:lvl w:ilvl="0" w:tplc="91CE3558">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D74F4"/>
    <w:multiLevelType w:val="hybridMultilevel"/>
    <w:tmpl w:val="88B40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C375B5"/>
    <w:multiLevelType w:val="hybridMultilevel"/>
    <w:tmpl w:val="D018D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246786">
    <w:abstractNumId w:val="0"/>
  </w:num>
  <w:num w:numId="2" w16cid:durableId="1786922357">
    <w:abstractNumId w:val="2"/>
  </w:num>
  <w:num w:numId="3" w16cid:durableId="18036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F3"/>
    <w:rsid w:val="00234D47"/>
    <w:rsid w:val="002B76F6"/>
    <w:rsid w:val="002D0CE0"/>
    <w:rsid w:val="00305100"/>
    <w:rsid w:val="00353D7C"/>
    <w:rsid w:val="003E5226"/>
    <w:rsid w:val="006C2305"/>
    <w:rsid w:val="007C59F3"/>
    <w:rsid w:val="008B131A"/>
    <w:rsid w:val="009238E3"/>
    <w:rsid w:val="00930284"/>
    <w:rsid w:val="009306BB"/>
    <w:rsid w:val="00933B27"/>
    <w:rsid w:val="009563C3"/>
    <w:rsid w:val="009D0E58"/>
    <w:rsid w:val="00AD7E98"/>
    <w:rsid w:val="00C65A9D"/>
    <w:rsid w:val="00C813A7"/>
    <w:rsid w:val="00C96306"/>
    <w:rsid w:val="00D61742"/>
    <w:rsid w:val="00E01610"/>
    <w:rsid w:val="00E444D8"/>
    <w:rsid w:val="00EB6FB8"/>
    <w:rsid w:val="00F771C0"/>
    <w:rsid w:val="00FB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CCA7"/>
  <w15:chartTrackingRefBased/>
  <w15:docId w15:val="{81267E21-BBCA-4D07-92AC-07BFA2D5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59F3"/>
    <w:pPr>
      <w:spacing w:after="0" w:line="240" w:lineRule="auto"/>
      <w:jc w:val="center"/>
    </w:pPr>
    <w:rPr>
      <w:rFonts w:eastAsia="Times New Roman" w:cs="Arial"/>
      <w:b/>
      <w:bCs/>
      <w:szCs w:val="24"/>
      <w:u w:val="single"/>
    </w:rPr>
  </w:style>
  <w:style w:type="character" w:customStyle="1" w:styleId="TitleChar">
    <w:name w:val="Title Char"/>
    <w:basedOn w:val="DefaultParagraphFont"/>
    <w:link w:val="Title"/>
    <w:rsid w:val="007C59F3"/>
    <w:rPr>
      <w:rFonts w:eastAsia="Times New Roman" w:cs="Arial"/>
      <w:b/>
      <w:bCs/>
      <w:szCs w:val="24"/>
      <w:u w:val="single"/>
    </w:rPr>
  </w:style>
  <w:style w:type="paragraph" w:styleId="Header">
    <w:name w:val="header"/>
    <w:basedOn w:val="Normal"/>
    <w:link w:val="HeaderChar"/>
    <w:uiPriority w:val="99"/>
    <w:unhideWhenUsed/>
    <w:rsid w:val="007C5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9F3"/>
  </w:style>
  <w:style w:type="paragraph" w:styleId="Footer">
    <w:name w:val="footer"/>
    <w:basedOn w:val="Normal"/>
    <w:link w:val="FooterChar"/>
    <w:uiPriority w:val="99"/>
    <w:unhideWhenUsed/>
    <w:rsid w:val="007C5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9F3"/>
  </w:style>
  <w:style w:type="paragraph" w:customStyle="1" w:styleId="Default">
    <w:name w:val="Default"/>
    <w:rsid w:val="007C59F3"/>
    <w:pPr>
      <w:autoSpaceDE w:val="0"/>
      <w:autoSpaceDN w:val="0"/>
      <w:adjustRightInd w:val="0"/>
      <w:spacing w:after="0" w:line="240" w:lineRule="auto"/>
    </w:pPr>
    <w:rPr>
      <w:rFonts w:ascii="Calibri" w:hAnsi="Calibri"/>
      <w:color w:val="000000"/>
      <w:szCs w:val="24"/>
    </w:rPr>
  </w:style>
  <w:style w:type="paragraph" w:styleId="ListParagraph">
    <w:name w:val="List Paragraph"/>
    <w:basedOn w:val="Normal"/>
    <w:uiPriority w:val="34"/>
    <w:qFormat/>
    <w:rsid w:val="003E5226"/>
    <w:pPr>
      <w:spacing w:after="0" w:line="240" w:lineRule="auto"/>
      <w:ind w:left="720"/>
      <w:contextualSpacing/>
    </w:pPr>
    <w:rPr>
      <w:rFonts w:ascii="Times New Roman" w:eastAsia="Times New Roman" w:hAnsi="Times New Roman" w:cs="Times New Roman"/>
      <w:szCs w:val="24"/>
    </w:rPr>
  </w:style>
  <w:style w:type="paragraph" w:styleId="NormalWeb">
    <w:name w:val="Normal (Web)"/>
    <w:basedOn w:val="Normal"/>
    <w:uiPriority w:val="99"/>
    <w:unhideWhenUsed/>
    <w:rsid w:val="003E522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3E5226"/>
    <w:rPr>
      <w:color w:val="0563C1" w:themeColor="hyperlink"/>
      <w:u w:val="single"/>
    </w:rPr>
  </w:style>
  <w:style w:type="character" w:styleId="UnresolvedMention">
    <w:name w:val="Unresolved Mention"/>
    <w:basedOn w:val="DefaultParagraphFont"/>
    <w:uiPriority w:val="99"/>
    <w:semiHidden/>
    <w:unhideWhenUsed/>
    <w:rsid w:val="003E5226"/>
    <w:rPr>
      <w:color w:val="605E5C"/>
      <w:shd w:val="clear" w:color="auto" w:fill="E1DFDD"/>
    </w:rPr>
  </w:style>
  <w:style w:type="character" w:styleId="FollowedHyperlink">
    <w:name w:val="FollowedHyperlink"/>
    <w:basedOn w:val="DefaultParagraphFont"/>
    <w:uiPriority w:val="99"/>
    <w:semiHidden/>
    <w:unhideWhenUsed/>
    <w:rsid w:val="00AD7E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uidance/check-employment-status-for-ta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6" ma:contentTypeDescription="Create a new document." ma:contentTypeScope="" ma:versionID="f92e8981536013c33e06457b9af09f05">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29fdf6671bb47e716c2b6e22f319a1dc"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6638-A230-4F90-9D71-AD54FF0640F3}">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customXml/itemProps2.xml><?xml version="1.0" encoding="utf-8"?>
<ds:datastoreItem xmlns:ds="http://schemas.openxmlformats.org/officeDocument/2006/customXml" ds:itemID="{09A5ACAA-E3EE-4CE0-9544-4F552AE1B45D}">
  <ds:schemaRefs>
    <ds:schemaRef ds:uri="http://schemas.microsoft.com/sharepoint/v3/contenttype/forms"/>
  </ds:schemaRefs>
</ds:datastoreItem>
</file>

<file path=customXml/itemProps3.xml><?xml version="1.0" encoding="utf-8"?>
<ds:datastoreItem xmlns:ds="http://schemas.openxmlformats.org/officeDocument/2006/customXml" ds:itemID="{415AEBFD-A109-48B4-A94F-08CC4BD4B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Victoria</dc:creator>
  <cp:keywords/>
  <dc:description/>
  <cp:lastModifiedBy>Davies, Victoria</cp:lastModifiedBy>
  <cp:revision>15</cp:revision>
  <dcterms:created xsi:type="dcterms:W3CDTF">2023-03-17T16:38:00Z</dcterms:created>
  <dcterms:modified xsi:type="dcterms:W3CDTF">2025-06-23T13:04:00Z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0x01010081CD6B30F754EF4CA2D3924548B23629</vt:lpwstr>
  </property>
  <property fmtid="{D5CDD505-2E9C-101B-9397-08002B2CF9AE}" pid="3" name="Order">
    <vt:r8>1271200</vt:r8>
  </property>
  <property fmtid="{D5CDD505-2E9C-101B-9397-08002B2CF9AE}" pid="4" name="ClassificationContentMarkingHeaderShapeIds">
    <vt:lpwstr>7e86125e,290cfbf5,6790a541</vt:lpwstr>
  </property>
  <property fmtid="{D5CDD505-2E9C-101B-9397-08002B2CF9AE}" pid="5" name="ClassificationContentMarkingHeaderFontProps">
    <vt:lpwstr>#0000ff,12,Calibri</vt:lpwstr>
  </property>
  <property fmtid="{D5CDD505-2E9C-101B-9397-08002B2CF9AE}" pid="6" name="ClassificationContentMarkingHeaderText">
    <vt:lpwstr>- Public -</vt:lpwstr>
  </property>
  <property fmtid="{D5CDD505-2E9C-101B-9397-08002B2CF9AE}" pid="7" name="MSIP_Label_e7a9bba0-8317-414c-a336-adccc738dda9_Enabled">
    <vt:lpwstr>true</vt:lpwstr>
  </property>
  <property fmtid="{D5CDD505-2E9C-101B-9397-08002B2CF9AE}" pid="8" name="MSIP_Label_e7a9bba0-8317-414c-a336-adccc738dda9_SetDate">
    <vt:lpwstr>2024-01-19T11:58:32Z</vt:lpwstr>
  </property>
  <property fmtid="{D5CDD505-2E9C-101B-9397-08002B2CF9AE}" pid="9" name="MSIP_Label_e7a9bba0-8317-414c-a336-adccc738dda9_Method">
    <vt:lpwstr>Privileged</vt:lpwstr>
  </property>
  <property fmtid="{D5CDD505-2E9C-101B-9397-08002B2CF9AE}" pid="10" name="MSIP_Label_e7a9bba0-8317-414c-a336-adccc738dda9_Name">
    <vt:lpwstr>Public</vt:lpwstr>
  </property>
  <property fmtid="{D5CDD505-2E9C-101B-9397-08002B2CF9AE}" pid="11" name="MSIP_Label_e7a9bba0-8317-414c-a336-adccc738dda9_SiteId">
    <vt:lpwstr>d6674c51-daa4-4142-8047-15a78bbe9306</vt:lpwstr>
  </property>
  <property fmtid="{D5CDD505-2E9C-101B-9397-08002B2CF9AE}" pid="12" name="MSIP_Label_e7a9bba0-8317-414c-a336-adccc738dda9_ActionId">
    <vt:lpwstr>817abbf6-b926-4042-adf0-ae9ec30b00bf</vt:lpwstr>
  </property>
  <property fmtid="{D5CDD505-2E9C-101B-9397-08002B2CF9AE}" pid="13" name="MSIP_Label_e7a9bba0-8317-414c-a336-adccc738dda9_ContentBits">
    <vt:lpwstr>1</vt:lpwstr>
  </property>
  <property fmtid="{D5CDD505-2E9C-101B-9397-08002B2CF9AE}" pid="14" name="MediaServiceImageTags">
    <vt:lpwstr/>
  </property>
</Properties>
</file>